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A99" w:rsidRDefault="0095273B" w:rsidP="00DF299A">
      <w:r>
        <w:t>Fundraiser Best Practices</w:t>
      </w:r>
    </w:p>
    <w:p w:rsidR="0095273B" w:rsidRDefault="0095273B" w:rsidP="00DF299A"/>
    <w:p w:rsidR="0095273B" w:rsidRDefault="0095273B" w:rsidP="00DF299A">
      <w:r w:rsidRPr="000041B9">
        <w:rPr>
          <w:sz w:val="22"/>
          <w:szCs w:val="22"/>
        </w:rPr>
        <w:t xml:space="preserve">Fundraising events (bazaars, carnivals, diners, auctions, etc.) are vital to many parishes and schools. But </w:t>
      </w:r>
      <w:r w:rsidR="00B917B4">
        <w:rPr>
          <w:sz w:val="22"/>
          <w:szCs w:val="22"/>
        </w:rPr>
        <w:t>beyond</w:t>
      </w:r>
      <w:r w:rsidRPr="000041B9">
        <w:rPr>
          <w:sz w:val="22"/>
          <w:szCs w:val="22"/>
        </w:rPr>
        <w:t xml:space="preserve"> the administrative burdens associated with planning, organizing</w:t>
      </w:r>
      <w:r w:rsidR="00D53510" w:rsidRPr="000041B9">
        <w:rPr>
          <w:sz w:val="22"/>
          <w:szCs w:val="22"/>
        </w:rPr>
        <w:t>,</w:t>
      </w:r>
      <w:r w:rsidRPr="000041B9">
        <w:rPr>
          <w:sz w:val="22"/>
          <w:szCs w:val="22"/>
        </w:rPr>
        <w:t xml:space="preserve"> and executing these events, there are often “hidden” risks involved that could, if not addressed</w:t>
      </w:r>
      <w:r w:rsidR="00D53510" w:rsidRPr="000041B9">
        <w:rPr>
          <w:sz w:val="22"/>
          <w:szCs w:val="22"/>
        </w:rPr>
        <w:t>,</w:t>
      </w:r>
      <w:r w:rsidRPr="000041B9">
        <w:rPr>
          <w:sz w:val="22"/>
          <w:szCs w:val="22"/>
        </w:rPr>
        <w:t xml:space="preserve"> have serious consequences.  Proper internal control procedures help prevent, detect, and at least significantly reduce chances of occurrence</w:t>
      </w:r>
      <w:r>
        <w:t>.</w:t>
      </w:r>
    </w:p>
    <w:p w:rsidR="0095273B" w:rsidRDefault="0095273B" w:rsidP="00DF299A"/>
    <w:p w:rsidR="0095273B" w:rsidRDefault="0095273B" w:rsidP="00DF299A">
      <w:pPr>
        <w:rPr>
          <w:u w:val="single"/>
        </w:rPr>
      </w:pPr>
      <w:r w:rsidRPr="0095273B">
        <w:rPr>
          <w:u w:val="single"/>
        </w:rPr>
        <w:t xml:space="preserve">Recommended Procedures to Minimize Risk </w:t>
      </w:r>
    </w:p>
    <w:p w:rsidR="0095273B" w:rsidRDefault="0095273B" w:rsidP="00DF299A">
      <w:pPr>
        <w:rPr>
          <w:u w:val="single"/>
        </w:rPr>
      </w:pPr>
    </w:p>
    <w:p w:rsidR="00CA15DE" w:rsidRPr="008215E3" w:rsidRDefault="0095273B" w:rsidP="000E7E51">
      <w:pPr>
        <w:pStyle w:val="ListParagraph"/>
        <w:numPr>
          <w:ilvl w:val="0"/>
          <w:numId w:val="12"/>
        </w:numPr>
        <w:rPr>
          <w:sz w:val="22"/>
          <w:szCs w:val="22"/>
        </w:rPr>
      </w:pPr>
      <w:r w:rsidRPr="008215E3">
        <w:rPr>
          <w:sz w:val="22"/>
          <w:szCs w:val="22"/>
        </w:rPr>
        <w:t>Ensure the Finance Council and fundraising committee understand that all activities must comply with the laws of the State of Florida</w:t>
      </w:r>
      <w:r w:rsidR="00BA082A" w:rsidRPr="008215E3">
        <w:rPr>
          <w:sz w:val="22"/>
          <w:szCs w:val="22"/>
        </w:rPr>
        <w:t xml:space="preserve"> and are aware of the impact of gaming on an organization’s tax-exempt status</w:t>
      </w:r>
      <w:r w:rsidR="009C6ADC" w:rsidRPr="008215E3">
        <w:rPr>
          <w:sz w:val="22"/>
          <w:szCs w:val="22"/>
        </w:rPr>
        <w:t xml:space="preserve">  </w:t>
      </w:r>
    </w:p>
    <w:p w:rsidR="00CA15DE" w:rsidRDefault="003171DD" w:rsidP="00CA15DE">
      <w:pPr>
        <w:pStyle w:val="ListParagraph"/>
        <w:rPr>
          <w:sz w:val="22"/>
          <w:szCs w:val="22"/>
        </w:rPr>
      </w:pPr>
      <w:hyperlink r:id="rId7" w:history="1">
        <w:r w:rsidR="00BA082A" w:rsidRPr="00D71B1C">
          <w:rPr>
            <w:rStyle w:val="Hyperlink"/>
            <w:sz w:val="22"/>
            <w:szCs w:val="22"/>
          </w:rPr>
          <w:t>https://www.irs.gov/pub/irs-pdf/p3079.pdf</w:t>
        </w:r>
      </w:hyperlink>
      <w:r w:rsidR="00BA082A">
        <w:rPr>
          <w:sz w:val="22"/>
          <w:szCs w:val="22"/>
        </w:rPr>
        <w:t xml:space="preserve"> </w:t>
      </w:r>
    </w:p>
    <w:p w:rsidR="00CA15DE" w:rsidRPr="000041B9" w:rsidRDefault="00D53510" w:rsidP="00CA15DE">
      <w:pPr>
        <w:pStyle w:val="ListParagraph"/>
        <w:numPr>
          <w:ilvl w:val="0"/>
          <w:numId w:val="12"/>
        </w:numPr>
        <w:rPr>
          <w:sz w:val="22"/>
          <w:szCs w:val="22"/>
        </w:rPr>
      </w:pPr>
      <w:bookmarkStart w:id="0" w:name="_GoBack"/>
      <w:bookmarkEnd w:id="0"/>
      <w:r w:rsidRPr="000041B9">
        <w:rPr>
          <w:sz w:val="22"/>
          <w:szCs w:val="22"/>
        </w:rPr>
        <w:t>Document cash handling proc</w:t>
      </w:r>
      <w:r w:rsidR="00CA15DE" w:rsidRPr="000041B9">
        <w:rPr>
          <w:sz w:val="22"/>
          <w:szCs w:val="22"/>
        </w:rPr>
        <w:t xml:space="preserve">edures (hereafter “cash” includes checks) and have the Finance Council review for adequacy. </w:t>
      </w:r>
    </w:p>
    <w:p w:rsidR="00CA15DE" w:rsidRPr="000041B9" w:rsidRDefault="00CA15DE" w:rsidP="00CA15DE">
      <w:pPr>
        <w:pStyle w:val="ListParagraph"/>
        <w:numPr>
          <w:ilvl w:val="0"/>
          <w:numId w:val="12"/>
        </w:numPr>
        <w:rPr>
          <w:sz w:val="22"/>
          <w:szCs w:val="22"/>
        </w:rPr>
      </w:pPr>
      <w:r w:rsidRPr="000041B9">
        <w:rPr>
          <w:sz w:val="22"/>
          <w:szCs w:val="22"/>
        </w:rPr>
        <w:t xml:space="preserve">Keep the Finance Council fully informed on </w:t>
      </w:r>
      <w:r w:rsidR="007537B8">
        <w:rPr>
          <w:sz w:val="22"/>
          <w:szCs w:val="22"/>
        </w:rPr>
        <w:t xml:space="preserve">event </w:t>
      </w:r>
      <w:r w:rsidRPr="000041B9">
        <w:rPr>
          <w:sz w:val="22"/>
          <w:szCs w:val="22"/>
        </w:rPr>
        <w:t>progress,</w:t>
      </w:r>
      <w:r w:rsidR="007537B8">
        <w:rPr>
          <w:sz w:val="22"/>
          <w:szCs w:val="22"/>
        </w:rPr>
        <w:t xml:space="preserve"> event</w:t>
      </w:r>
      <w:r w:rsidRPr="000041B9">
        <w:rPr>
          <w:sz w:val="22"/>
          <w:szCs w:val="22"/>
        </w:rPr>
        <w:t xml:space="preserve"> challenges and results </w:t>
      </w:r>
    </w:p>
    <w:p w:rsidR="00CA15DE" w:rsidRPr="000041B9" w:rsidRDefault="00CA15DE" w:rsidP="00CA15DE">
      <w:pPr>
        <w:pStyle w:val="ListParagraph"/>
        <w:numPr>
          <w:ilvl w:val="0"/>
          <w:numId w:val="12"/>
        </w:numPr>
        <w:rPr>
          <w:sz w:val="22"/>
          <w:szCs w:val="22"/>
        </w:rPr>
      </w:pPr>
      <w:r w:rsidRPr="000041B9">
        <w:rPr>
          <w:sz w:val="22"/>
          <w:szCs w:val="22"/>
        </w:rPr>
        <w:t>Ensure start-up funds or “seed” money for events is tracked and returned. Checks should not be written to cash</w:t>
      </w:r>
      <w:r w:rsidR="00D53510" w:rsidRPr="000041B9">
        <w:rPr>
          <w:sz w:val="22"/>
          <w:szCs w:val="22"/>
        </w:rPr>
        <w:t xml:space="preserve"> for this purpose</w:t>
      </w:r>
      <w:r w:rsidRPr="000041B9">
        <w:rPr>
          <w:sz w:val="22"/>
          <w:szCs w:val="22"/>
        </w:rPr>
        <w:t>. They should be made payable to the individual who is custodian for the event, cashed by this individual, utilized at the event, and then separately accounted for</w:t>
      </w:r>
      <w:r w:rsidR="00D53510" w:rsidRPr="000041B9">
        <w:rPr>
          <w:sz w:val="22"/>
          <w:szCs w:val="22"/>
        </w:rPr>
        <w:t>,</w:t>
      </w:r>
      <w:r w:rsidRPr="000041B9">
        <w:rPr>
          <w:sz w:val="22"/>
          <w:szCs w:val="22"/>
        </w:rPr>
        <w:t xml:space="preserve"> so 100% of start-up funds are re-deposited.</w:t>
      </w:r>
    </w:p>
    <w:p w:rsidR="00764BB0" w:rsidRPr="000041B9" w:rsidRDefault="00CA15DE" w:rsidP="00CA15DE">
      <w:pPr>
        <w:pStyle w:val="ListParagraph"/>
        <w:numPr>
          <w:ilvl w:val="0"/>
          <w:numId w:val="12"/>
        </w:numPr>
        <w:rPr>
          <w:sz w:val="22"/>
          <w:szCs w:val="22"/>
        </w:rPr>
      </w:pPr>
      <w:r w:rsidRPr="000041B9">
        <w:rPr>
          <w:sz w:val="22"/>
          <w:szCs w:val="22"/>
        </w:rPr>
        <w:t>For bazaars, carnivals, and similar events, utilize tickets rather than accepting cash at event booths to minimize risk for loss of funds.</w:t>
      </w:r>
    </w:p>
    <w:p w:rsidR="00764BB0" w:rsidRPr="000041B9" w:rsidRDefault="00764BB0" w:rsidP="00CA15DE">
      <w:pPr>
        <w:pStyle w:val="ListParagraph"/>
        <w:numPr>
          <w:ilvl w:val="0"/>
          <w:numId w:val="12"/>
        </w:numPr>
        <w:rPr>
          <w:sz w:val="22"/>
          <w:szCs w:val="22"/>
        </w:rPr>
      </w:pPr>
      <w:r w:rsidRPr="000041B9">
        <w:rPr>
          <w:sz w:val="22"/>
          <w:szCs w:val="22"/>
        </w:rPr>
        <w:t xml:space="preserve">Tickets may be sold prior to the event or at the event. Sold, unsold and returned tickets should be tracked. </w:t>
      </w:r>
    </w:p>
    <w:p w:rsidR="00CA15DE" w:rsidRPr="000041B9" w:rsidRDefault="00764BB0" w:rsidP="00CA15DE">
      <w:pPr>
        <w:pStyle w:val="ListParagraph"/>
        <w:numPr>
          <w:ilvl w:val="0"/>
          <w:numId w:val="12"/>
        </w:numPr>
        <w:rPr>
          <w:sz w:val="22"/>
          <w:szCs w:val="22"/>
        </w:rPr>
      </w:pPr>
      <w:r w:rsidRPr="000041B9">
        <w:rPr>
          <w:sz w:val="22"/>
          <w:szCs w:val="22"/>
        </w:rPr>
        <w:t>Tickets for raffles must contain certain information required by law. In Florida, no purchase or contribution is necessary</w:t>
      </w:r>
      <w:r w:rsidR="00D53510" w:rsidRPr="000041B9">
        <w:rPr>
          <w:sz w:val="22"/>
          <w:szCs w:val="22"/>
        </w:rPr>
        <w:t xml:space="preserve"> for a ticket</w:t>
      </w:r>
      <w:r w:rsidRPr="000041B9">
        <w:rPr>
          <w:sz w:val="22"/>
          <w:szCs w:val="22"/>
        </w:rPr>
        <w:t xml:space="preserve">. See </w:t>
      </w:r>
      <w:hyperlink r:id="rId8" w:history="1">
        <w:r w:rsidR="00D53510" w:rsidRPr="000041B9">
          <w:rPr>
            <w:rStyle w:val="Hyperlink"/>
            <w:sz w:val="22"/>
            <w:szCs w:val="22"/>
          </w:rPr>
          <w:t>http://www.flsenate.gov/Laws/Statutes/2017/849.0935</w:t>
        </w:r>
      </w:hyperlink>
      <w:r w:rsidR="00CA15DE" w:rsidRPr="000041B9">
        <w:rPr>
          <w:sz w:val="22"/>
          <w:szCs w:val="22"/>
        </w:rPr>
        <w:t xml:space="preserve"> </w:t>
      </w:r>
    </w:p>
    <w:p w:rsidR="00D53510" w:rsidRPr="000041B9" w:rsidRDefault="00D53510" w:rsidP="00CA15DE">
      <w:pPr>
        <w:pStyle w:val="ListParagraph"/>
        <w:numPr>
          <w:ilvl w:val="0"/>
          <w:numId w:val="12"/>
        </w:numPr>
        <w:rPr>
          <w:sz w:val="22"/>
          <w:szCs w:val="22"/>
        </w:rPr>
      </w:pPr>
      <w:r w:rsidRPr="000041B9">
        <w:rPr>
          <w:sz w:val="22"/>
          <w:szCs w:val="22"/>
        </w:rPr>
        <w:t>Generally, it is not a good idea to cash personal checks at these events.</w:t>
      </w:r>
    </w:p>
    <w:p w:rsidR="00D53510" w:rsidRPr="000041B9" w:rsidRDefault="00D53510" w:rsidP="00CA15DE">
      <w:pPr>
        <w:pStyle w:val="ListParagraph"/>
        <w:numPr>
          <w:ilvl w:val="0"/>
          <w:numId w:val="12"/>
        </w:numPr>
        <w:rPr>
          <w:sz w:val="22"/>
          <w:szCs w:val="22"/>
        </w:rPr>
      </w:pPr>
      <w:r w:rsidRPr="000041B9">
        <w:rPr>
          <w:sz w:val="22"/>
          <w:szCs w:val="22"/>
        </w:rPr>
        <w:t xml:space="preserve">Two unrelated individuals should be present with cash </w:t>
      </w:r>
      <w:proofErr w:type="gramStart"/>
      <w:r w:rsidRPr="000041B9">
        <w:rPr>
          <w:sz w:val="22"/>
          <w:szCs w:val="22"/>
        </w:rPr>
        <w:t>at all times</w:t>
      </w:r>
      <w:proofErr w:type="gramEnd"/>
      <w:r w:rsidRPr="000041B9">
        <w:rPr>
          <w:sz w:val="22"/>
          <w:szCs w:val="22"/>
        </w:rPr>
        <w:t xml:space="preserve"> from collection through deposit.</w:t>
      </w:r>
    </w:p>
    <w:p w:rsidR="00D53510" w:rsidRPr="000041B9" w:rsidRDefault="00D53510" w:rsidP="00CA15DE">
      <w:pPr>
        <w:pStyle w:val="ListParagraph"/>
        <w:numPr>
          <w:ilvl w:val="0"/>
          <w:numId w:val="12"/>
        </w:numPr>
        <w:rPr>
          <w:sz w:val="22"/>
          <w:szCs w:val="22"/>
        </w:rPr>
      </w:pPr>
      <w:r w:rsidRPr="000041B9">
        <w:rPr>
          <w:sz w:val="22"/>
          <w:szCs w:val="22"/>
        </w:rPr>
        <w:t>Take measures to ensure persons involved in cash handling do not have the ability to remove cash from cash handling areas.  Do not permit large purses, backpacks or tote bags into the count room or cash handling area.</w:t>
      </w:r>
    </w:p>
    <w:p w:rsidR="00D53510" w:rsidRPr="000041B9" w:rsidRDefault="00D53510" w:rsidP="00CA15DE">
      <w:pPr>
        <w:pStyle w:val="ListParagraph"/>
        <w:numPr>
          <w:ilvl w:val="0"/>
          <w:numId w:val="12"/>
        </w:numPr>
        <w:rPr>
          <w:sz w:val="22"/>
          <w:szCs w:val="22"/>
        </w:rPr>
      </w:pPr>
      <w:r w:rsidRPr="000041B9">
        <w:rPr>
          <w:sz w:val="22"/>
          <w:szCs w:val="22"/>
        </w:rPr>
        <w:t xml:space="preserve">The supply of tamper evident bags should be controlled, distributed and tracked by an individual </w:t>
      </w:r>
      <w:r w:rsidR="00BA082A">
        <w:rPr>
          <w:sz w:val="22"/>
          <w:szCs w:val="22"/>
        </w:rPr>
        <w:t xml:space="preserve">who is </w:t>
      </w:r>
      <w:r w:rsidRPr="000041B9">
        <w:rPr>
          <w:sz w:val="22"/>
          <w:szCs w:val="22"/>
        </w:rPr>
        <w:t>not involved with the cash collection process.</w:t>
      </w:r>
    </w:p>
    <w:p w:rsidR="00D53510" w:rsidRPr="000041B9" w:rsidRDefault="00D53510" w:rsidP="00CA15DE">
      <w:pPr>
        <w:pStyle w:val="ListParagraph"/>
        <w:numPr>
          <w:ilvl w:val="0"/>
          <w:numId w:val="12"/>
        </w:numPr>
        <w:rPr>
          <w:sz w:val="22"/>
          <w:szCs w:val="22"/>
        </w:rPr>
      </w:pPr>
      <w:r w:rsidRPr="000041B9">
        <w:rPr>
          <w:sz w:val="22"/>
          <w:szCs w:val="22"/>
        </w:rPr>
        <w:t xml:space="preserve">A count team of at least 3 unrelated individuals should be responsible for counting the funds. (use the same procedures utilized for offertory collection count and deposit) </w:t>
      </w:r>
    </w:p>
    <w:p w:rsidR="00D53510" w:rsidRPr="000041B9" w:rsidRDefault="00D53510" w:rsidP="00CA15DE">
      <w:pPr>
        <w:pStyle w:val="ListParagraph"/>
        <w:numPr>
          <w:ilvl w:val="0"/>
          <w:numId w:val="12"/>
        </w:numPr>
        <w:rPr>
          <w:sz w:val="22"/>
          <w:szCs w:val="22"/>
        </w:rPr>
      </w:pPr>
      <w:r w:rsidRPr="000041B9">
        <w:rPr>
          <w:sz w:val="22"/>
          <w:szCs w:val="22"/>
        </w:rPr>
        <w:t>Event coordinators should maintain lists of event participants and lists of fundraising expenses supported by invoices and receipts.</w:t>
      </w:r>
    </w:p>
    <w:p w:rsidR="00D53510" w:rsidRPr="000041B9" w:rsidRDefault="00D53510" w:rsidP="00CA15DE">
      <w:pPr>
        <w:pStyle w:val="ListParagraph"/>
        <w:numPr>
          <w:ilvl w:val="0"/>
          <w:numId w:val="12"/>
        </w:numPr>
        <w:rPr>
          <w:sz w:val="22"/>
          <w:szCs w:val="22"/>
        </w:rPr>
      </w:pPr>
      <w:r w:rsidRPr="000041B9">
        <w:rPr>
          <w:sz w:val="22"/>
          <w:szCs w:val="22"/>
        </w:rPr>
        <w:t xml:space="preserve">Reconcile the number of tickets sold to the deposit at the bank </w:t>
      </w:r>
      <w:r w:rsidR="000041B9" w:rsidRPr="000041B9">
        <w:rPr>
          <w:sz w:val="22"/>
          <w:szCs w:val="22"/>
        </w:rPr>
        <w:t>and agree deposit amounts with count sheets.</w:t>
      </w:r>
      <w:r w:rsidRPr="000041B9">
        <w:rPr>
          <w:sz w:val="22"/>
          <w:szCs w:val="22"/>
        </w:rPr>
        <w:t xml:space="preserve">  </w:t>
      </w:r>
    </w:p>
    <w:p w:rsidR="000041B9" w:rsidRPr="000041B9" w:rsidRDefault="000041B9" w:rsidP="00ED0EDC">
      <w:pPr>
        <w:pStyle w:val="ListParagraph"/>
        <w:numPr>
          <w:ilvl w:val="0"/>
          <w:numId w:val="12"/>
        </w:numPr>
        <w:rPr>
          <w:sz w:val="22"/>
          <w:szCs w:val="22"/>
        </w:rPr>
      </w:pPr>
      <w:r w:rsidRPr="000041B9">
        <w:rPr>
          <w:sz w:val="22"/>
          <w:szCs w:val="22"/>
        </w:rPr>
        <w:t xml:space="preserve">Obtain Certificates of Insurance from service providers. Questions </w:t>
      </w:r>
      <w:r>
        <w:rPr>
          <w:sz w:val="22"/>
          <w:szCs w:val="22"/>
        </w:rPr>
        <w:t xml:space="preserve">regarding insurance </w:t>
      </w:r>
      <w:r w:rsidRPr="000041B9">
        <w:rPr>
          <w:sz w:val="22"/>
          <w:szCs w:val="22"/>
        </w:rPr>
        <w:t xml:space="preserve">should be sent to  </w:t>
      </w:r>
      <w:hyperlink r:id="rId9" w:history="1">
        <w:r w:rsidR="008215E3" w:rsidRPr="00D96D8C">
          <w:rPr>
            <w:rStyle w:val="Hyperlink"/>
            <w:sz w:val="22"/>
            <w:szCs w:val="22"/>
          </w:rPr>
          <w:t>Insurance@dioceseofvenice.org</w:t>
        </w:r>
      </w:hyperlink>
    </w:p>
    <w:sectPr w:rsidR="000041B9" w:rsidRPr="000041B9" w:rsidSect="00987AB5">
      <w:headerReference w:type="default" r:id="rId10"/>
      <w:footerReference w:type="default" r:id="rId11"/>
      <w:endnotePr>
        <w:numFmt w:val="decimal"/>
      </w:endnotePr>
      <w:pgSz w:w="12240" w:h="15840"/>
      <w:pgMar w:top="1714" w:right="1008" w:bottom="1008" w:left="1008"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1DD" w:rsidRDefault="003171DD">
      <w:r>
        <w:separator/>
      </w:r>
    </w:p>
  </w:endnote>
  <w:endnote w:type="continuationSeparator" w:id="0">
    <w:p w:rsidR="003171DD" w:rsidRDefault="0031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C2F" w:rsidRDefault="00BC2B2B">
    <w:pPr>
      <w:tabs>
        <w:tab w:val="right" w:pos="9360"/>
      </w:tabs>
      <w:spacing w:line="190" w:lineRule="auto"/>
      <w:jc w:val="both"/>
      <w:rPr>
        <w:sz w:val="22"/>
        <w:szCs w:val="22"/>
      </w:rPr>
    </w:pPr>
    <w:r>
      <w:rPr>
        <w:sz w:val="22"/>
        <w:szCs w:val="22"/>
      </w:rPr>
      <w:tab/>
    </w:r>
    <w:r>
      <w:rPr>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1DD" w:rsidRDefault="003171DD">
      <w:r>
        <w:separator/>
      </w:r>
    </w:p>
  </w:footnote>
  <w:footnote w:type="continuationSeparator" w:id="0">
    <w:p w:rsidR="003171DD" w:rsidRDefault="00317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C2F" w:rsidRPr="00105773" w:rsidRDefault="002B5C2F">
    <w:pPr>
      <w:jc w:val="both"/>
    </w:pPr>
    <w:r>
      <w:rPr>
        <w:noProof/>
      </w:rPr>
      <w:drawing>
        <wp:anchor distT="0" distB="0" distL="114300" distR="114300" simplePos="0" relativeHeight="251658752" behindDoc="0" locked="0" layoutInCell="1" allowOverlap="1">
          <wp:simplePos x="0" y="0"/>
          <wp:positionH relativeFrom="column">
            <wp:posOffset>241935</wp:posOffset>
          </wp:positionH>
          <wp:positionV relativeFrom="paragraph">
            <wp:posOffset>40640</wp:posOffset>
          </wp:positionV>
          <wp:extent cx="1006475" cy="1447800"/>
          <wp:effectExtent l="0" t="0" r="3175" b="0"/>
          <wp:wrapNone/>
          <wp:docPr id="19" name="Picture 19" descr="DOV - Color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OV - Color Cr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6475"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5C2F" w:rsidRDefault="002B5C2F">
    <w:pPr>
      <w:spacing w:line="240" w:lineRule="exact"/>
    </w:pPr>
  </w:p>
  <w:p w:rsidR="002B5C2F" w:rsidRDefault="002B5C2F">
    <w:pPr>
      <w:spacing w:line="240" w:lineRule="exact"/>
    </w:pPr>
  </w:p>
  <w:p w:rsidR="002B5C2F" w:rsidRPr="004E6B3C" w:rsidRDefault="002B5C2F" w:rsidP="00EB3C86">
    <w:pPr>
      <w:spacing w:line="240" w:lineRule="exact"/>
      <w:jc w:val="center"/>
      <w:rPr>
        <w:rFonts w:ascii="Garamond" w:hAnsi="Garamond"/>
        <w:i/>
        <w:sz w:val="28"/>
        <w:szCs w:val="28"/>
      </w:rPr>
    </w:pPr>
    <w:r w:rsidRPr="004E6B3C">
      <w:rPr>
        <w:rFonts w:ascii="Garamond" w:hAnsi="Garamond"/>
        <w:i/>
        <w:sz w:val="28"/>
        <w:szCs w:val="28"/>
      </w:rPr>
      <w:t xml:space="preserve">DIOCESE OF </w:t>
    </w:r>
    <w:smartTag w:uri="urn:schemas-microsoft-com:office:smarttags" w:element="City">
      <w:r w:rsidRPr="004E6B3C">
        <w:rPr>
          <w:rFonts w:ascii="Garamond" w:hAnsi="Garamond"/>
          <w:i/>
          <w:sz w:val="28"/>
          <w:szCs w:val="28"/>
        </w:rPr>
        <w:t>VENICE</w:t>
      </w:r>
    </w:smartTag>
    <w:r w:rsidRPr="004E6B3C">
      <w:rPr>
        <w:rFonts w:ascii="Garamond" w:hAnsi="Garamond"/>
        <w:i/>
        <w:sz w:val="28"/>
        <w:szCs w:val="28"/>
      </w:rPr>
      <w:t xml:space="preserve"> IN </w:t>
    </w:r>
    <w:smartTag w:uri="urn:schemas-microsoft-com:office:smarttags" w:element="State">
      <w:smartTag w:uri="urn:schemas-microsoft-com:office:smarttags" w:element="place">
        <w:r w:rsidRPr="004E6B3C">
          <w:rPr>
            <w:rFonts w:ascii="Garamond" w:hAnsi="Garamond"/>
            <w:i/>
            <w:sz w:val="28"/>
            <w:szCs w:val="28"/>
          </w:rPr>
          <w:t>FLORIDA</w:t>
        </w:r>
      </w:smartTag>
    </w:smartTag>
  </w:p>
  <w:p w:rsidR="002B5C2F" w:rsidRDefault="002B5C2F">
    <w:pPr>
      <w:spacing w:line="240" w:lineRule="exact"/>
    </w:pPr>
  </w:p>
  <w:p w:rsidR="002B5C2F" w:rsidRDefault="002B5C2F">
    <w:pPr>
      <w:spacing w:line="240" w:lineRule="exact"/>
    </w:pPr>
    <w:r>
      <w:rPr>
        <w:noProof/>
        <w:color w:val="000080"/>
      </w:rPr>
      <mc:AlternateContent>
        <mc:Choice Requires="wps">
          <w:drawing>
            <wp:anchor distT="0" distB="0" distL="114300" distR="114300" simplePos="0" relativeHeight="251657728" behindDoc="0" locked="0" layoutInCell="1" allowOverlap="1">
              <wp:simplePos x="0" y="0"/>
              <wp:positionH relativeFrom="column">
                <wp:posOffset>-62865</wp:posOffset>
              </wp:positionH>
              <wp:positionV relativeFrom="paragraph">
                <wp:posOffset>13335</wp:posOffset>
              </wp:positionV>
              <wp:extent cx="6019800" cy="127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198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1F17F" id="Line 18"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05pt" to="469.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Qk3HQIAADYEAAAOAAAAZHJzL2Uyb0RvYy54bWysU02P2yAQvVfqf0DcE3/UyS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"/>
          </w:pict>
        </mc:Fallback>
      </mc:AlternateContent>
    </w:r>
  </w:p>
  <w:p w:rsidR="002B5C2F" w:rsidRPr="004E6B3C" w:rsidRDefault="000D4B62" w:rsidP="00EB3C86">
    <w:pPr>
      <w:spacing w:line="240" w:lineRule="exact"/>
      <w:jc w:val="center"/>
      <w:rPr>
        <w:i/>
      </w:rPr>
    </w:pPr>
    <w:r>
      <w:rPr>
        <w:i/>
      </w:rPr>
      <w:t>Internal Financial Services</w:t>
    </w:r>
  </w:p>
  <w:p w:rsidR="002B5C2F" w:rsidRDefault="002B5C2F">
    <w:pPr>
      <w:spacing w:line="240" w:lineRule="exact"/>
    </w:pPr>
  </w:p>
  <w:p w:rsidR="002B5C2F" w:rsidRDefault="002B5C2F">
    <w:pPr>
      <w:spacing w:line="240" w:lineRule="exact"/>
    </w:pPr>
  </w:p>
  <w:p w:rsidR="002B5C2F" w:rsidRPr="00105773" w:rsidRDefault="002B5C2F">
    <w:pPr>
      <w:spacing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C12E4"/>
    <w:multiLevelType w:val="hybridMultilevel"/>
    <w:tmpl w:val="6A78E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83203B"/>
    <w:multiLevelType w:val="hybridMultilevel"/>
    <w:tmpl w:val="DC5EA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9D12BB"/>
    <w:multiLevelType w:val="hybridMultilevel"/>
    <w:tmpl w:val="8118DF02"/>
    <w:lvl w:ilvl="0" w:tplc="8946CCA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DCA003E"/>
    <w:multiLevelType w:val="hybridMultilevel"/>
    <w:tmpl w:val="A552D5E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B064BD"/>
    <w:multiLevelType w:val="hybridMultilevel"/>
    <w:tmpl w:val="970C1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B87A44"/>
    <w:multiLevelType w:val="hybridMultilevel"/>
    <w:tmpl w:val="D010A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E31CF8"/>
    <w:multiLevelType w:val="hybridMultilevel"/>
    <w:tmpl w:val="DA046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8D4FF2"/>
    <w:multiLevelType w:val="hybridMultilevel"/>
    <w:tmpl w:val="5E80D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40398B"/>
    <w:multiLevelType w:val="hybridMultilevel"/>
    <w:tmpl w:val="86E80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893079"/>
    <w:multiLevelType w:val="hybridMultilevel"/>
    <w:tmpl w:val="A8E86D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187558"/>
    <w:multiLevelType w:val="hybridMultilevel"/>
    <w:tmpl w:val="57942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9E0C03"/>
    <w:multiLevelType w:val="hybridMultilevel"/>
    <w:tmpl w:val="E8744EAC"/>
    <w:lvl w:ilvl="0" w:tplc="490826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9"/>
  </w:num>
  <w:num w:numId="2">
    <w:abstractNumId w:val="2"/>
  </w:num>
  <w:num w:numId="3">
    <w:abstractNumId w:val="11"/>
  </w:num>
  <w:num w:numId="4">
    <w:abstractNumId w:val="3"/>
  </w:num>
  <w:num w:numId="5">
    <w:abstractNumId w:val="5"/>
  </w:num>
  <w:num w:numId="6">
    <w:abstractNumId w:val="8"/>
  </w:num>
  <w:num w:numId="7">
    <w:abstractNumId w:val="1"/>
  </w:num>
  <w:num w:numId="8">
    <w:abstractNumId w:val="0"/>
  </w:num>
  <w:num w:numId="9">
    <w:abstractNumId w:val="6"/>
  </w:num>
  <w:num w:numId="10">
    <w:abstractNumId w:val="4"/>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A7D"/>
    <w:rsid w:val="00001F02"/>
    <w:rsid w:val="00003DE2"/>
    <w:rsid w:val="000041B9"/>
    <w:rsid w:val="000102F5"/>
    <w:rsid w:val="00014C12"/>
    <w:rsid w:val="00020059"/>
    <w:rsid w:val="000228B0"/>
    <w:rsid w:val="00040C80"/>
    <w:rsid w:val="00042C74"/>
    <w:rsid w:val="00055A5F"/>
    <w:rsid w:val="00063453"/>
    <w:rsid w:val="0006377C"/>
    <w:rsid w:val="00076B4C"/>
    <w:rsid w:val="00082257"/>
    <w:rsid w:val="00086DA2"/>
    <w:rsid w:val="00096D3B"/>
    <w:rsid w:val="000B5F42"/>
    <w:rsid w:val="000B6F44"/>
    <w:rsid w:val="000B7127"/>
    <w:rsid w:val="000C3514"/>
    <w:rsid w:val="000D4B62"/>
    <w:rsid w:val="000E04EE"/>
    <w:rsid w:val="000E60C7"/>
    <w:rsid w:val="000F4914"/>
    <w:rsid w:val="000F4F58"/>
    <w:rsid w:val="000F7C00"/>
    <w:rsid w:val="00105773"/>
    <w:rsid w:val="001128CC"/>
    <w:rsid w:val="00133BC2"/>
    <w:rsid w:val="001342A8"/>
    <w:rsid w:val="00137349"/>
    <w:rsid w:val="0014422C"/>
    <w:rsid w:val="001464AF"/>
    <w:rsid w:val="00156E47"/>
    <w:rsid w:val="00175A5B"/>
    <w:rsid w:val="0017652B"/>
    <w:rsid w:val="00185070"/>
    <w:rsid w:val="00185115"/>
    <w:rsid w:val="00187105"/>
    <w:rsid w:val="001A0180"/>
    <w:rsid w:val="001A68E9"/>
    <w:rsid w:val="001A695C"/>
    <w:rsid w:val="001B52AE"/>
    <w:rsid w:val="001C0D6C"/>
    <w:rsid w:val="001C4C3A"/>
    <w:rsid w:val="001F32B4"/>
    <w:rsid w:val="001F5DBE"/>
    <w:rsid w:val="0021280C"/>
    <w:rsid w:val="00236B2B"/>
    <w:rsid w:val="00236CD5"/>
    <w:rsid w:val="00244364"/>
    <w:rsid w:val="002500C2"/>
    <w:rsid w:val="0025160E"/>
    <w:rsid w:val="0025384B"/>
    <w:rsid w:val="00262551"/>
    <w:rsid w:val="00264E6B"/>
    <w:rsid w:val="00266E30"/>
    <w:rsid w:val="002740B6"/>
    <w:rsid w:val="00281C53"/>
    <w:rsid w:val="00282B34"/>
    <w:rsid w:val="0028779B"/>
    <w:rsid w:val="00292D24"/>
    <w:rsid w:val="0029790D"/>
    <w:rsid w:val="002A25D2"/>
    <w:rsid w:val="002A4279"/>
    <w:rsid w:val="002A6CD1"/>
    <w:rsid w:val="002B2809"/>
    <w:rsid w:val="002B5C2F"/>
    <w:rsid w:val="002B65F2"/>
    <w:rsid w:val="002C245E"/>
    <w:rsid w:val="002D13AE"/>
    <w:rsid w:val="002D311D"/>
    <w:rsid w:val="002F29FA"/>
    <w:rsid w:val="00300E7F"/>
    <w:rsid w:val="00307A6C"/>
    <w:rsid w:val="003171DD"/>
    <w:rsid w:val="0032735E"/>
    <w:rsid w:val="003347F4"/>
    <w:rsid w:val="00344A99"/>
    <w:rsid w:val="00344AB8"/>
    <w:rsid w:val="00350D08"/>
    <w:rsid w:val="00370BCC"/>
    <w:rsid w:val="0037147C"/>
    <w:rsid w:val="00376CC4"/>
    <w:rsid w:val="00392233"/>
    <w:rsid w:val="003B334D"/>
    <w:rsid w:val="003C0E2F"/>
    <w:rsid w:val="003C7D81"/>
    <w:rsid w:val="003D54E4"/>
    <w:rsid w:val="003D6C3C"/>
    <w:rsid w:val="003E5184"/>
    <w:rsid w:val="003F093A"/>
    <w:rsid w:val="00401DF4"/>
    <w:rsid w:val="004047EA"/>
    <w:rsid w:val="00416D47"/>
    <w:rsid w:val="004312A9"/>
    <w:rsid w:val="004365C6"/>
    <w:rsid w:val="004503AC"/>
    <w:rsid w:val="00450A6F"/>
    <w:rsid w:val="004561C9"/>
    <w:rsid w:val="004653F0"/>
    <w:rsid w:val="00467462"/>
    <w:rsid w:val="00475845"/>
    <w:rsid w:val="004A0457"/>
    <w:rsid w:val="004A5D29"/>
    <w:rsid w:val="004B7866"/>
    <w:rsid w:val="004D1740"/>
    <w:rsid w:val="004E09A2"/>
    <w:rsid w:val="004E0F14"/>
    <w:rsid w:val="004E3AD0"/>
    <w:rsid w:val="004E6B3C"/>
    <w:rsid w:val="00504B36"/>
    <w:rsid w:val="00511FCD"/>
    <w:rsid w:val="00514356"/>
    <w:rsid w:val="00532800"/>
    <w:rsid w:val="00556ECD"/>
    <w:rsid w:val="0055798E"/>
    <w:rsid w:val="00577E8F"/>
    <w:rsid w:val="005916DF"/>
    <w:rsid w:val="005973D5"/>
    <w:rsid w:val="005A2B93"/>
    <w:rsid w:val="005D25F9"/>
    <w:rsid w:val="005D3340"/>
    <w:rsid w:val="005F54E8"/>
    <w:rsid w:val="00602E6E"/>
    <w:rsid w:val="006060C2"/>
    <w:rsid w:val="00616421"/>
    <w:rsid w:val="0062285A"/>
    <w:rsid w:val="00622DC2"/>
    <w:rsid w:val="00636470"/>
    <w:rsid w:val="00636972"/>
    <w:rsid w:val="00662939"/>
    <w:rsid w:val="00665231"/>
    <w:rsid w:val="0067275A"/>
    <w:rsid w:val="006977A8"/>
    <w:rsid w:val="006A4AF3"/>
    <w:rsid w:val="006A5263"/>
    <w:rsid w:val="006C0ADF"/>
    <w:rsid w:val="006C15FB"/>
    <w:rsid w:val="006E7C12"/>
    <w:rsid w:val="006F55BB"/>
    <w:rsid w:val="00714171"/>
    <w:rsid w:val="00714671"/>
    <w:rsid w:val="0071499B"/>
    <w:rsid w:val="00715FAE"/>
    <w:rsid w:val="007206B8"/>
    <w:rsid w:val="007537B8"/>
    <w:rsid w:val="00755323"/>
    <w:rsid w:val="00756AA2"/>
    <w:rsid w:val="00761DE6"/>
    <w:rsid w:val="00764BB0"/>
    <w:rsid w:val="00765749"/>
    <w:rsid w:val="007674ED"/>
    <w:rsid w:val="00775C5D"/>
    <w:rsid w:val="0079286B"/>
    <w:rsid w:val="007A1049"/>
    <w:rsid w:val="007A7E0E"/>
    <w:rsid w:val="007D08FA"/>
    <w:rsid w:val="007E5E1B"/>
    <w:rsid w:val="007F06CC"/>
    <w:rsid w:val="008137AD"/>
    <w:rsid w:val="008210C0"/>
    <w:rsid w:val="008215E3"/>
    <w:rsid w:val="00822C04"/>
    <w:rsid w:val="00847276"/>
    <w:rsid w:val="00853C3C"/>
    <w:rsid w:val="00867384"/>
    <w:rsid w:val="008678EB"/>
    <w:rsid w:val="00873944"/>
    <w:rsid w:val="008755DC"/>
    <w:rsid w:val="00877B3B"/>
    <w:rsid w:val="00885FA0"/>
    <w:rsid w:val="00887390"/>
    <w:rsid w:val="00890316"/>
    <w:rsid w:val="00893D67"/>
    <w:rsid w:val="008A4694"/>
    <w:rsid w:val="008B4D8A"/>
    <w:rsid w:val="008C1160"/>
    <w:rsid w:val="008D4A7D"/>
    <w:rsid w:val="008D50E6"/>
    <w:rsid w:val="009031E1"/>
    <w:rsid w:val="0091609F"/>
    <w:rsid w:val="009260E0"/>
    <w:rsid w:val="00926C31"/>
    <w:rsid w:val="009316DD"/>
    <w:rsid w:val="009357E1"/>
    <w:rsid w:val="0095273B"/>
    <w:rsid w:val="00977D47"/>
    <w:rsid w:val="00987AB5"/>
    <w:rsid w:val="009904A4"/>
    <w:rsid w:val="0099322A"/>
    <w:rsid w:val="00997104"/>
    <w:rsid w:val="009A1AE5"/>
    <w:rsid w:val="009C4C71"/>
    <w:rsid w:val="009C6ADC"/>
    <w:rsid w:val="009D3369"/>
    <w:rsid w:val="009D4F51"/>
    <w:rsid w:val="009D51D7"/>
    <w:rsid w:val="009D5A6D"/>
    <w:rsid w:val="009E1E06"/>
    <w:rsid w:val="009E28BE"/>
    <w:rsid w:val="009F0446"/>
    <w:rsid w:val="009F2DBA"/>
    <w:rsid w:val="00A0291C"/>
    <w:rsid w:val="00A041F6"/>
    <w:rsid w:val="00A1252D"/>
    <w:rsid w:val="00A16382"/>
    <w:rsid w:val="00A322EB"/>
    <w:rsid w:val="00A40A96"/>
    <w:rsid w:val="00A417FC"/>
    <w:rsid w:val="00A8548D"/>
    <w:rsid w:val="00AA685F"/>
    <w:rsid w:val="00AB103A"/>
    <w:rsid w:val="00AD4117"/>
    <w:rsid w:val="00AD63FC"/>
    <w:rsid w:val="00AF1DD1"/>
    <w:rsid w:val="00AF48E4"/>
    <w:rsid w:val="00AF766C"/>
    <w:rsid w:val="00B069BD"/>
    <w:rsid w:val="00B21471"/>
    <w:rsid w:val="00B24347"/>
    <w:rsid w:val="00B37EDF"/>
    <w:rsid w:val="00B41900"/>
    <w:rsid w:val="00B52FDF"/>
    <w:rsid w:val="00B54683"/>
    <w:rsid w:val="00B60500"/>
    <w:rsid w:val="00B80C0F"/>
    <w:rsid w:val="00B917B4"/>
    <w:rsid w:val="00BA082A"/>
    <w:rsid w:val="00BA0854"/>
    <w:rsid w:val="00BA1B2D"/>
    <w:rsid w:val="00BC2B2B"/>
    <w:rsid w:val="00BC41DB"/>
    <w:rsid w:val="00BC7414"/>
    <w:rsid w:val="00BD2B6C"/>
    <w:rsid w:val="00BE099C"/>
    <w:rsid w:val="00BE51A2"/>
    <w:rsid w:val="00BE7D03"/>
    <w:rsid w:val="00BF1367"/>
    <w:rsid w:val="00BF20C8"/>
    <w:rsid w:val="00BF58B5"/>
    <w:rsid w:val="00C11859"/>
    <w:rsid w:val="00C122A5"/>
    <w:rsid w:val="00C207B3"/>
    <w:rsid w:val="00C246A1"/>
    <w:rsid w:val="00C25BFE"/>
    <w:rsid w:val="00C3261A"/>
    <w:rsid w:val="00C33629"/>
    <w:rsid w:val="00C368BF"/>
    <w:rsid w:val="00C45CFB"/>
    <w:rsid w:val="00CA15DE"/>
    <w:rsid w:val="00CA7148"/>
    <w:rsid w:val="00CB111F"/>
    <w:rsid w:val="00CB4F24"/>
    <w:rsid w:val="00CC61F6"/>
    <w:rsid w:val="00CC6712"/>
    <w:rsid w:val="00CC7A95"/>
    <w:rsid w:val="00CD0430"/>
    <w:rsid w:val="00CE2294"/>
    <w:rsid w:val="00CF1DF0"/>
    <w:rsid w:val="00CF2C67"/>
    <w:rsid w:val="00D037DD"/>
    <w:rsid w:val="00D06473"/>
    <w:rsid w:val="00D1660C"/>
    <w:rsid w:val="00D20887"/>
    <w:rsid w:val="00D21AA5"/>
    <w:rsid w:val="00D45379"/>
    <w:rsid w:val="00D508F1"/>
    <w:rsid w:val="00D51056"/>
    <w:rsid w:val="00D53510"/>
    <w:rsid w:val="00D54B07"/>
    <w:rsid w:val="00D56D9D"/>
    <w:rsid w:val="00D60BCC"/>
    <w:rsid w:val="00D637E0"/>
    <w:rsid w:val="00D80364"/>
    <w:rsid w:val="00D86734"/>
    <w:rsid w:val="00D912C8"/>
    <w:rsid w:val="00D94D16"/>
    <w:rsid w:val="00D97627"/>
    <w:rsid w:val="00DB2628"/>
    <w:rsid w:val="00DB5AB6"/>
    <w:rsid w:val="00DC3D90"/>
    <w:rsid w:val="00DC659D"/>
    <w:rsid w:val="00DD0A05"/>
    <w:rsid w:val="00DF0408"/>
    <w:rsid w:val="00DF299A"/>
    <w:rsid w:val="00DF6C14"/>
    <w:rsid w:val="00E27158"/>
    <w:rsid w:val="00E304E1"/>
    <w:rsid w:val="00E3623A"/>
    <w:rsid w:val="00E66AF3"/>
    <w:rsid w:val="00E67959"/>
    <w:rsid w:val="00E70820"/>
    <w:rsid w:val="00E839DF"/>
    <w:rsid w:val="00E83E54"/>
    <w:rsid w:val="00E85C7E"/>
    <w:rsid w:val="00EB3C86"/>
    <w:rsid w:val="00EB4D70"/>
    <w:rsid w:val="00EB6CB2"/>
    <w:rsid w:val="00EF6860"/>
    <w:rsid w:val="00F06FD6"/>
    <w:rsid w:val="00F15EC6"/>
    <w:rsid w:val="00F20FF7"/>
    <w:rsid w:val="00F22C7E"/>
    <w:rsid w:val="00F33CE9"/>
    <w:rsid w:val="00F358AE"/>
    <w:rsid w:val="00F37600"/>
    <w:rsid w:val="00F42B5C"/>
    <w:rsid w:val="00F46F2A"/>
    <w:rsid w:val="00F85335"/>
    <w:rsid w:val="00F93E95"/>
    <w:rsid w:val="00F95E27"/>
    <w:rsid w:val="00FB35EC"/>
    <w:rsid w:val="00FB3889"/>
    <w:rsid w:val="00FC1AB4"/>
    <w:rsid w:val="00FC6BFB"/>
    <w:rsid w:val="00FF0103"/>
    <w:rsid w:val="00FF22F9"/>
    <w:rsid w:val="00FF334C"/>
    <w:rsid w:val="00FF6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909AB333-C327-4730-9C12-84AE242F1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2C67"/>
    <w:rPr>
      <w:sz w:val="24"/>
    </w:rPr>
  </w:style>
  <w:style w:type="paragraph" w:styleId="Heading1">
    <w:name w:val="heading 1"/>
    <w:basedOn w:val="Normal"/>
    <w:next w:val="Normal"/>
    <w:qFormat/>
    <w:rsid w:val="006060C2"/>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322EB"/>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sid w:val="00133BC2"/>
    <w:rPr>
      <w:color w:val="0000FF"/>
      <w:u w:val="single"/>
    </w:rPr>
  </w:style>
  <w:style w:type="paragraph" w:customStyle="1" w:styleId="bodycopy">
    <w:name w:val="bodycopy"/>
    <w:basedOn w:val="Normal"/>
    <w:link w:val="bodycopyChar2"/>
    <w:rsid w:val="00376CC4"/>
    <w:pPr>
      <w:ind w:firstLine="720"/>
    </w:pPr>
    <w:rPr>
      <w:rFonts w:ascii="Tahoma" w:eastAsia="Times" w:hAnsi="Tahoma"/>
    </w:rPr>
  </w:style>
  <w:style w:type="character" w:customStyle="1" w:styleId="bodycopyChar2">
    <w:name w:val="bodycopy Char2"/>
    <w:link w:val="bodycopy"/>
    <w:rsid w:val="00636972"/>
    <w:rPr>
      <w:rFonts w:ascii="Tahoma" w:eastAsia="Times" w:hAnsi="Tahoma"/>
      <w:sz w:val="24"/>
      <w:lang w:val="en-US" w:eastAsia="en-US" w:bidi="ar-SA"/>
    </w:rPr>
  </w:style>
  <w:style w:type="paragraph" w:styleId="BalloonText">
    <w:name w:val="Balloon Text"/>
    <w:basedOn w:val="Normal"/>
    <w:semiHidden/>
    <w:rsid w:val="00076B4C"/>
    <w:rPr>
      <w:rFonts w:ascii="Tahoma" w:hAnsi="Tahoma" w:cs="Tahoma"/>
      <w:sz w:val="16"/>
      <w:szCs w:val="16"/>
    </w:rPr>
  </w:style>
  <w:style w:type="character" w:customStyle="1" w:styleId="reddy">
    <w:name w:val="reddy"/>
    <w:semiHidden/>
    <w:rsid w:val="002D13AE"/>
    <w:rPr>
      <w:rFonts w:ascii="Arial" w:hAnsi="Arial" w:cs="Arial"/>
      <w:color w:val="000080"/>
      <w:sz w:val="20"/>
      <w:szCs w:val="20"/>
    </w:rPr>
  </w:style>
  <w:style w:type="paragraph" w:styleId="NormalWeb">
    <w:name w:val="Normal (Web)"/>
    <w:basedOn w:val="Normal"/>
    <w:rsid w:val="00086DA2"/>
    <w:pPr>
      <w:spacing w:before="100" w:beforeAutospacing="1" w:after="100" w:afterAutospacing="1"/>
    </w:pPr>
    <w:rPr>
      <w:color w:val="000000"/>
    </w:rPr>
  </w:style>
  <w:style w:type="character" w:styleId="Strong">
    <w:name w:val="Strong"/>
    <w:qFormat/>
    <w:rsid w:val="003D6C3C"/>
    <w:rPr>
      <w:b/>
      <w:bCs/>
    </w:rPr>
  </w:style>
  <w:style w:type="character" w:customStyle="1" w:styleId="googqs-tidbit-0">
    <w:name w:val="goog_qs-tidbit-0"/>
    <w:basedOn w:val="DefaultParagraphFont"/>
    <w:rsid w:val="009D51D7"/>
  </w:style>
  <w:style w:type="paragraph" w:styleId="TOC1">
    <w:name w:val="toc 1"/>
    <w:basedOn w:val="Normal"/>
    <w:next w:val="Normal"/>
    <w:autoRedefine/>
    <w:semiHidden/>
    <w:rsid w:val="00A322EB"/>
    <w:pPr>
      <w:spacing w:before="120" w:after="120"/>
    </w:pPr>
    <w:rPr>
      <w:b/>
      <w:bCs/>
      <w:caps/>
      <w:sz w:val="20"/>
    </w:rPr>
  </w:style>
  <w:style w:type="paragraph" w:styleId="TOC2">
    <w:name w:val="toc 2"/>
    <w:basedOn w:val="Normal"/>
    <w:next w:val="Normal"/>
    <w:autoRedefine/>
    <w:semiHidden/>
    <w:rsid w:val="00A322EB"/>
    <w:pPr>
      <w:ind w:left="240"/>
    </w:pPr>
    <w:rPr>
      <w:smallCaps/>
      <w:sz w:val="20"/>
    </w:rPr>
  </w:style>
  <w:style w:type="paragraph" w:styleId="ListParagraph">
    <w:name w:val="List Paragraph"/>
    <w:basedOn w:val="Normal"/>
    <w:uiPriority w:val="34"/>
    <w:qFormat/>
    <w:rsid w:val="00890316"/>
    <w:pPr>
      <w:ind w:left="720"/>
      <w:contextualSpacing/>
    </w:pPr>
  </w:style>
  <w:style w:type="character" w:customStyle="1" w:styleId="UnresolvedMention1">
    <w:name w:val="Unresolved Mention1"/>
    <w:basedOn w:val="DefaultParagraphFont"/>
    <w:uiPriority w:val="99"/>
    <w:semiHidden/>
    <w:unhideWhenUsed/>
    <w:rsid w:val="009C6ADC"/>
    <w:rPr>
      <w:color w:val="808080"/>
      <w:shd w:val="clear" w:color="auto" w:fill="E6E6E6"/>
    </w:rPr>
  </w:style>
  <w:style w:type="character" w:styleId="UnresolvedMention">
    <w:name w:val="Unresolved Mention"/>
    <w:basedOn w:val="DefaultParagraphFont"/>
    <w:uiPriority w:val="99"/>
    <w:semiHidden/>
    <w:unhideWhenUsed/>
    <w:rsid w:val="008215E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338667">
      <w:bodyDiv w:val="1"/>
      <w:marLeft w:val="0"/>
      <w:marRight w:val="0"/>
      <w:marTop w:val="0"/>
      <w:marBottom w:val="0"/>
      <w:divBdr>
        <w:top w:val="none" w:sz="0" w:space="0" w:color="auto"/>
        <w:left w:val="none" w:sz="0" w:space="0" w:color="auto"/>
        <w:bottom w:val="none" w:sz="0" w:space="0" w:color="auto"/>
        <w:right w:val="none" w:sz="0" w:space="0" w:color="auto"/>
      </w:divBdr>
    </w:div>
    <w:div w:id="916667130">
      <w:bodyDiv w:val="1"/>
      <w:marLeft w:val="0"/>
      <w:marRight w:val="0"/>
      <w:marTop w:val="0"/>
      <w:marBottom w:val="0"/>
      <w:divBdr>
        <w:top w:val="none" w:sz="0" w:space="0" w:color="auto"/>
        <w:left w:val="none" w:sz="0" w:space="0" w:color="auto"/>
        <w:bottom w:val="none" w:sz="0" w:space="0" w:color="auto"/>
        <w:right w:val="none" w:sz="0" w:space="0" w:color="auto"/>
      </w:divBdr>
    </w:div>
    <w:div w:id="959383165">
      <w:bodyDiv w:val="1"/>
      <w:marLeft w:val="0"/>
      <w:marRight w:val="0"/>
      <w:marTop w:val="0"/>
      <w:marBottom w:val="0"/>
      <w:divBdr>
        <w:top w:val="none" w:sz="0" w:space="0" w:color="auto"/>
        <w:left w:val="none" w:sz="0" w:space="0" w:color="auto"/>
        <w:bottom w:val="none" w:sz="0" w:space="0" w:color="auto"/>
        <w:right w:val="none" w:sz="0" w:space="0" w:color="auto"/>
      </w:divBdr>
    </w:div>
    <w:div w:id="1569923448">
      <w:bodyDiv w:val="1"/>
      <w:marLeft w:val="0"/>
      <w:marRight w:val="0"/>
      <w:marTop w:val="0"/>
      <w:marBottom w:val="0"/>
      <w:divBdr>
        <w:top w:val="none" w:sz="0" w:space="0" w:color="auto"/>
        <w:left w:val="none" w:sz="0" w:space="0" w:color="auto"/>
        <w:bottom w:val="none" w:sz="0" w:space="0" w:color="auto"/>
        <w:right w:val="none" w:sz="0" w:space="0" w:color="auto"/>
      </w:divBdr>
    </w:div>
    <w:div w:id="1974214154">
      <w:bodyDiv w:val="1"/>
      <w:marLeft w:val="0"/>
      <w:marRight w:val="0"/>
      <w:marTop w:val="0"/>
      <w:marBottom w:val="0"/>
      <w:divBdr>
        <w:top w:val="none" w:sz="0" w:space="0" w:color="auto"/>
        <w:left w:val="none" w:sz="0" w:space="0" w:color="auto"/>
        <w:bottom w:val="none" w:sz="0" w:space="0" w:color="auto"/>
        <w:right w:val="none" w:sz="0" w:space="0" w:color="auto"/>
      </w:divBdr>
    </w:div>
    <w:div w:id="1991252655">
      <w:bodyDiv w:val="1"/>
      <w:marLeft w:val="0"/>
      <w:marRight w:val="0"/>
      <w:marTop w:val="0"/>
      <w:marBottom w:val="0"/>
      <w:divBdr>
        <w:top w:val="none" w:sz="0" w:space="0" w:color="auto"/>
        <w:left w:val="none" w:sz="0" w:space="0" w:color="auto"/>
        <w:bottom w:val="none" w:sz="0" w:space="0" w:color="auto"/>
        <w:right w:val="none" w:sz="0" w:space="0" w:color="auto"/>
      </w:divBdr>
      <w:divsChild>
        <w:div w:id="498811428">
          <w:marLeft w:val="0"/>
          <w:marRight w:val="0"/>
          <w:marTop w:val="0"/>
          <w:marBottom w:val="0"/>
          <w:divBdr>
            <w:top w:val="none" w:sz="0" w:space="0" w:color="auto"/>
            <w:left w:val="none" w:sz="0" w:space="0" w:color="auto"/>
            <w:bottom w:val="none" w:sz="0" w:space="0" w:color="auto"/>
            <w:right w:val="none" w:sz="0" w:space="0" w:color="auto"/>
          </w:divBdr>
        </w:div>
      </w:divsChild>
    </w:div>
    <w:div w:id="2100982185">
      <w:bodyDiv w:val="1"/>
      <w:marLeft w:val="0"/>
      <w:marRight w:val="0"/>
      <w:marTop w:val="0"/>
      <w:marBottom w:val="0"/>
      <w:divBdr>
        <w:top w:val="none" w:sz="0" w:space="0" w:color="auto"/>
        <w:left w:val="none" w:sz="0" w:space="0" w:color="auto"/>
        <w:bottom w:val="none" w:sz="0" w:space="0" w:color="auto"/>
        <w:right w:val="none" w:sz="0" w:space="0" w:color="auto"/>
      </w:divBdr>
    </w:div>
    <w:div w:id="211697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lsenate.gov/Laws/Statutes/2017/849.093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rs.gov/pub/irs-pdf/p3079.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surance@dioceseofvenic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gwhite\Application%20Data\Microsoft\Templates\Press%20Release%20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 Release Form</Template>
  <TotalTime>2</TotalTime>
  <Pages>1</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Gail M</vt:lpstr>
    </vt:vector>
  </TitlesOfParts>
  <Company>Diocese of Venice</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Gail M</dc:title>
  <dc:creator>agwhite</dc:creator>
  <cp:lastModifiedBy>VanLede-Brown, Lorraine S.</cp:lastModifiedBy>
  <cp:revision>4</cp:revision>
  <cp:lastPrinted>2017-05-16T19:54:00Z</cp:lastPrinted>
  <dcterms:created xsi:type="dcterms:W3CDTF">2017-11-03T20:23:00Z</dcterms:created>
  <dcterms:modified xsi:type="dcterms:W3CDTF">2017-11-13T17:19:00Z</dcterms:modified>
</cp:coreProperties>
</file>